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4E30F904"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w:t>
      </w:r>
      <w:r w:rsidR="007162DE">
        <w:rPr>
          <w:rFonts w:cstheme="minorHAnsi"/>
          <w:lang w:val="en-US"/>
        </w:rPr>
        <w:t>prediction</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6CDE5F08" w:rsidR="00F0771E" w:rsidRPr="002D77AB" w:rsidRDefault="00DA2873" w:rsidP="00F0771E">
      <w:pPr>
        <w:rPr>
          <w:rFonts w:cstheme="minorHAnsi"/>
          <w:lang w:val="en-US"/>
        </w:rPr>
      </w:pPr>
      <w:r>
        <w:rPr>
          <w:rFonts w:cstheme="minorHAnsi"/>
          <w:lang w:val="en-US"/>
        </w:rPr>
        <w:t xml:space="preserve">One important application of prognostication in pregnancy management is in prediction of adverse perinatal health outcomes. </w:t>
      </w:r>
      <w:r w:rsidR="00226DA4">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lastRenderedPageBreak/>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BE647C1"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2D6DB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66196D23"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2D6DB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B27F0F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2D6DB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2D6DB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2D6DB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2D6DB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236F340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2D6DB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6B15BA55" w:rsidR="00855A68" w:rsidRDefault="00855A68" w:rsidP="00172234">
      <w:pPr>
        <w:rPr>
          <w:rFonts w:cstheme="minorHAnsi"/>
          <w:b/>
          <w:bCs/>
        </w:rPr>
      </w:pPr>
      <w:r w:rsidRPr="00AB472B">
        <w:rPr>
          <w:rFonts w:cstheme="minorHAnsi"/>
          <w:b/>
          <w:bCs/>
        </w:rPr>
        <w:t>Data and open-source code availability</w:t>
      </w:r>
    </w:p>
    <w:p w14:paraId="3B9A4724" w14:textId="77777777" w:rsidR="00B901E7" w:rsidRPr="00AB472B" w:rsidRDefault="00B901E7" w:rsidP="00172234">
      <w:pPr>
        <w:rPr>
          <w:rFonts w:cstheme="minorHAnsi"/>
          <w:b/>
          <w:bCs/>
        </w:rPr>
      </w:pP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28694F58" w14:textId="77777777" w:rsidR="00B901E7" w:rsidRDefault="00855A68" w:rsidP="00172234">
      <w:pPr>
        <w:rPr>
          <w:rFonts w:cstheme="minorHAnsi"/>
          <w:b/>
          <w:bCs/>
        </w:rPr>
      </w:pPr>
      <w:r w:rsidRPr="00AB472B">
        <w:rPr>
          <w:rFonts w:cstheme="minorHAnsi"/>
          <w:b/>
          <w:bCs/>
        </w:rPr>
        <w:t>Acknowledgments</w:t>
      </w:r>
    </w:p>
    <w:p w14:paraId="38B27C9B" w14:textId="24C15868" w:rsidR="00855A68" w:rsidRPr="00AB472B" w:rsidRDefault="00855A68" w:rsidP="00172234">
      <w:pPr>
        <w:rPr>
          <w:rFonts w:cstheme="minorHAnsi"/>
          <w:b/>
          <w:bCs/>
        </w:rPr>
      </w:pP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1929621A" w:rsidR="00855A68" w:rsidRDefault="00855A68" w:rsidP="00172234">
      <w:pPr>
        <w:rPr>
          <w:rFonts w:cstheme="minorHAnsi"/>
          <w:b/>
          <w:bCs/>
        </w:rPr>
      </w:pPr>
      <w:r w:rsidRPr="00AB472B">
        <w:rPr>
          <w:rFonts w:cstheme="minorHAnsi"/>
          <w:b/>
          <w:bCs/>
        </w:rPr>
        <w:t>Competing interest</w:t>
      </w:r>
    </w:p>
    <w:p w14:paraId="63A53039" w14:textId="77777777" w:rsidR="00B901E7" w:rsidRPr="00AB472B" w:rsidRDefault="00B901E7" w:rsidP="00172234">
      <w:pPr>
        <w:rPr>
          <w:rFonts w:cstheme="minorHAnsi"/>
          <w:b/>
          <w:bCs/>
        </w:rPr>
      </w:pP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3B872D43" w14:textId="55D8237E" w:rsidR="002D6DBB" w:rsidRPr="002D6DBB" w:rsidRDefault="002D6DBB" w:rsidP="002D6DB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Pr="002D6DBB">
        <w:rPr>
          <w:rFonts w:ascii="Calibri" w:hAnsi="Calibri" w:cs="Calibri"/>
          <w:noProof/>
        </w:rPr>
        <w:t>[1]</w:t>
      </w:r>
      <w:r w:rsidRPr="002D6DBB">
        <w:rPr>
          <w:rFonts w:ascii="Calibri" w:hAnsi="Calibri" w:cs="Calibri"/>
          <w:noProof/>
        </w:rPr>
        <w:tab/>
        <w:t xml:space="preserve">E. W. Steyerberg </w:t>
      </w:r>
      <w:r w:rsidRPr="002D6DBB">
        <w:rPr>
          <w:rFonts w:ascii="Calibri" w:hAnsi="Calibri" w:cs="Calibri"/>
          <w:i/>
          <w:iCs/>
          <w:noProof/>
        </w:rPr>
        <w:t>et al.</w:t>
      </w:r>
      <w:r w:rsidRPr="002D6DBB">
        <w:rPr>
          <w:rFonts w:ascii="Calibri" w:hAnsi="Calibri" w:cs="Calibri"/>
          <w:noProof/>
        </w:rPr>
        <w:t xml:space="preserve">, “Prognosis Research Strategy (PROGRESS) 3: Prognostic Model Research,” </w:t>
      </w:r>
      <w:r w:rsidRPr="002D6DBB">
        <w:rPr>
          <w:rFonts w:ascii="Calibri" w:hAnsi="Calibri" w:cs="Calibri"/>
          <w:i/>
          <w:iCs/>
          <w:noProof/>
        </w:rPr>
        <w:t>PLoS Med.</w:t>
      </w:r>
      <w:r w:rsidRPr="002D6DBB">
        <w:rPr>
          <w:rFonts w:ascii="Calibri" w:hAnsi="Calibri" w:cs="Calibri"/>
          <w:noProof/>
        </w:rPr>
        <w:t>, vol. 10, no. 2, p. e1001381, Feb. 2013, doi: 10.1371/journal.pmed.1001381.</w:t>
      </w:r>
    </w:p>
    <w:p w14:paraId="4BE03D0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w:t>
      </w:r>
      <w:r w:rsidRPr="002D6DBB">
        <w:rPr>
          <w:rFonts w:ascii="Calibri" w:hAnsi="Calibri" w:cs="Calibri"/>
          <w:noProof/>
        </w:rPr>
        <w:tab/>
        <w:t xml:space="preserve">M. Z. I. Chowdhury and T. C. Turin, “Variable selection strategies and its importance in clinical prediction modelling,” </w:t>
      </w:r>
      <w:r w:rsidRPr="002D6DBB">
        <w:rPr>
          <w:rFonts w:ascii="Calibri" w:hAnsi="Calibri" w:cs="Calibri"/>
          <w:i/>
          <w:iCs/>
          <w:noProof/>
        </w:rPr>
        <w:t>Fam. Med. Community Heal.</w:t>
      </w:r>
      <w:r w:rsidRPr="002D6DBB">
        <w:rPr>
          <w:rFonts w:ascii="Calibri" w:hAnsi="Calibri" w:cs="Calibri"/>
          <w:noProof/>
        </w:rPr>
        <w:t>, vol. 8, no. 1, p. 262, Feb. 2020, doi: 10.1136/fmch-2019-000262.</w:t>
      </w:r>
    </w:p>
    <w:p w14:paraId="74921FA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[3]</w:t>
      </w:r>
      <w:r w:rsidRPr="002D6DBB">
        <w:rPr>
          <w:rFonts w:ascii="Calibri" w:hAnsi="Calibri" w:cs="Calibri"/>
          <w:noProof/>
        </w:rPr>
        <w:tab/>
        <w:t xml:space="preserve">D. V. Azzopardi </w:t>
      </w:r>
      <w:r w:rsidRPr="002D6DBB">
        <w:rPr>
          <w:rFonts w:ascii="Calibri" w:hAnsi="Calibri" w:cs="Calibri"/>
          <w:i/>
          <w:iCs/>
          <w:noProof/>
        </w:rPr>
        <w:t>et al.</w:t>
      </w:r>
      <w:r w:rsidRPr="002D6DBB">
        <w:rPr>
          <w:rFonts w:ascii="Calibri" w:hAnsi="Calibri" w:cs="Calibri"/>
          <w:noProof/>
        </w:rPr>
        <w:t xml:space="preserve">, “Moderate Hypothermia to Treat Perinatal Asphyxial Encephalopathy,” </w:t>
      </w:r>
      <w:r w:rsidRPr="002D6DBB">
        <w:rPr>
          <w:rFonts w:ascii="Calibri" w:hAnsi="Calibri" w:cs="Calibri"/>
          <w:i/>
          <w:iCs/>
          <w:noProof/>
        </w:rPr>
        <w:t>N. Engl. J. Med.</w:t>
      </w:r>
      <w:r w:rsidRPr="002D6DBB">
        <w:rPr>
          <w:rFonts w:ascii="Calibri" w:hAnsi="Calibri" w:cs="Calibri"/>
          <w:noProof/>
        </w:rPr>
        <w:t>, vol. 361, no. 14, pp. 1349–1358, Oct. 2009, doi: 10.1056/nejmoa0900854.</w:t>
      </w:r>
    </w:p>
    <w:p w14:paraId="24D4B83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[4]</w:t>
      </w:r>
      <w:r w:rsidRPr="002D6DBB">
        <w:rPr>
          <w:rFonts w:ascii="Calibri" w:hAnsi="Calibri" w:cs="Calibri"/>
          <w:noProof/>
        </w:rPr>
        <w:tab/>
        <w:t xml:space="preserve">D. E. Odd, D. Gunnell, G. Lewis, and F. Rasmussen, “Long-term impact of poor birth condition on social and economic outcomes in early adulthood,” </w:t>
      </w:r>
      <w:r w:rsidRPr="002D6DBB">
        <w:rPr>
          <w:rFonts w:ascii="Calibri" w:hAnsi="Calibri" w:cs="Calibri"/>
          <w:i/>
          <w:iCs/>
          <w:noProof/>
        </w:rPr>
        <w:t>Pediatrics</w:t>
      </w:r>
      <w:r w:rsidRPr="002D6DBB">
        <w:rPr>
          <w:rFonts w:ascii="Calibri" w:hAnsi="Calibri" w:cs="Calibri"/>
          <w:noProof/>
        </w:rPr>
        <w:t>, vol. 127, no. 6, Jun. 2011, doi: 10.1542/peds.2010-3604.</w:t>
      </w:r>
    </w:p>
    <w:p w14:paraId="0FABBD2C"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[5]</w:t>
      </w:r>
      <w:r w:rsidRPr="002D6DBB">
        <w:rPr>
          <w:rFonts w:ascii="Calibri" w:hAnsi="Calibri" w:cs="Calibri"/>
          <w:noProof/>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[6]</w:t>
      </w:r>
      <w:r w:rsidRPr="002D6DBB">
        <w:rPr>
          <w:rFonts w:ascii="Calibri" w:hAnsi="Calibri" w:cs="Calibri"/>
          <w:noProof/>
        </w:rPr>
        <w:tab/>
        <w:t xml:space="preserve">C. J. L. Murray </w:t>
      </w:r>
      <w:r w:rsidRPr="002D6DBB">
        <w:rPr>
          <w:rFonts w:ascii="Calibri" w:hAnsi="Calibri" w:cs="Calibri"/>
          <w:i/>
          <w:iCs/>
          <w:noProof/>
        </w:rPr>
        <w:t>et al.</w:t>
      </w:r>
      <w:r w:rsidRPr="002D6DBB">
        <w:rPr>
          <w:rFonts w:ascii="Calibri" w:hAnsi="Calibri" w:cs="Calibri"/>
          <w:noProof/>
        </w:rPr>
        <w:t xml:space="preserve">, “Disability-adjusted life years (DALYs) for 291 diseases and injuries in 21 regions, 1990-2010: A systematic analysis for the Global Burden of Disease Study 2010,” </w:t>
      </w:r>
      <w:r w:rsidRPr="002D6DBB">
        <w:rPr>
          <w:rFonts w:ascii="Calibri" w:hAnsi="Calibri" w:cs="Calibri"/>
          <w:i/>
          <w:iCs/>
          <w:noProof/>
        </w:rPr>
        <w:t>Lancet</w:t>
      </w:r>
      <w:r w:rsidRPr="002D6DBB">
        <w:rPr>
          <w:rFonts w:ascii="Calibri" w:hAnsi="Calibri" w:cs="Calibri"/>
          <w:noProof/>
        </w:rPr>
        <w:t>, vol. 380, no. 9859, pp. 2197–2223, Dec. 2012, doi: 10.1016/S0140-6736(12)61689-4.</w:t>
      </w:r>
    </w:p>
    <w:p w14:paraId="69A044AB"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[7]</w:t>
      </w:r>
      <w:r w:rsidRPr="002D6DBB">
        <w:rPr>
          <w:rFonts w:ascii="Calibri" w:hAnsi="Calibri" w:cs="Calibri"/>
          <w:noProof/>
        </w:rPr>
        <w:tab/>
        <w:t xml:space="preserve">D. Odd, G. Lewis, A. Whitelaw, and D. J.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9, no. 373, pp. 1615–1622, 2009.</w:t>
      </w:r>
    </w:p>
    <w:p w14:paraId="447731A2"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[8]</w:t>
      </w:r>
      <w:r w:rsidRPr="002D6DBB">
        <w:rPr>
          <w:rFonts w:ascii="Calibri" w:hAnsi="Calibri" w:cs="Calibri"/>
          <w:noProof/>
        </w:rPr>
        <w:tab/>
        <w:t xml:space="preserve">D. E. Odd, A. Whitelaw, D. Gunnell, and G. Lewis, “The association between birth condition and neuropsychological functioning and educational attainment at school age: A cohort study,” </w:t>
      </w:r>
      <w:r w:rsidRPr="002D6DBB">
        <w:rPr>
          <w:rFonts w:ascii="Calibri" w:hAnsi="Calibri" w:cs="Calibri"/>
          <w:i/>
          <w:iCs/>
          <w:noProof/>
        </w:rPr>
        <w:t>Arch. Dis. Child.</w:t>
      </w:r>
      <w:r w:rsidRPr="002D6DBB">
        <w:rPr>
          <w:rFonts w:ascii="Calibri" w:hAnsi="Calibri" w:cs="Calibri"/>
          <w:noProof/>
        </w:rPr>
        <w:t>, vol. 96, no. 1, pp. 30–37, Jan. 2011, doi: 10.1136/adc.2009.176065.</w:t>
      </w:r>
    </w:p>
    <w:p w14:paraId="2BB7E1B4"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[9]</w:t>
      </w:r>
      <w:r w:rsidRPr="002D6DBB">
        <w:rPr>
          <w:rFonts w:ascii="Calibri" w:hAnsi="Calibri" w:cs="Calibri"/>
          <w:noProof/>
        </w:rPr>
        <w:tab/>
        <w:t xml:space="preserve">D. E. Odd, F. Rasmussen, D. Gunnell, G. Lewis, and A. Whitelaw, “A cohort study of low Apgar scores and cognitive outcomes,” </w:t>
      </w:r>
      <w:r w:rsidRPr="002D6DBB">
        <w:rPr>
          <w:rFonts w:ascii="Calibri" w:hAnsi="Calibri" w:cs="Calibri"/>
          <w:i/>
          <w:iCs/>
          <w:noProof/>
        </w:rPr>
        <w:t>Arch. Dis. Child. Fetal Neonatal Ed.</w:t>
      </w:r>
      <w:r w:rsidRPr="002D6DBB">
        <w:rPr>
          <w:rFonts w:ascii="Calibri" w:hAnsi="Calibri" w:cs="Calibri"/>
          <w:noProof/>
        </w:rPr>
        <w:t>, vol. 93, no. 2, Mar. 2008, doi: 10.1136/adc.2007.123745.</w:t>
      </w:r>
    </w:p>
    <w:p w14:paraId="485A85A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[10]</w:t>
      </w:r>
      <w:r w:rsidRPr="002D6DBB">
        <w:rPr>
          <w:rFonts w:ascii="Calibri" w:hAnsi="Calibri" w:cs="Calibri"/>
          <w:noProof/>
        </w:rPr>
        <w:tab/>
        <w:t xml:space="preserve">R. Goeree, M. Hannah, and S. Hewson, “Cost-effectiveness of induction of labour versus serial antenatal monitoring in the Canadian multicentre postterm pregnancy trial,” </w:t>
      </w:r>
      <w:r w:rsidRPr="002D6DBB">
        <w:rPr>
          <w:rFonts w:ascii="Calibri" w:hAnsi="Calibri" w:cs="Calibri"/>
          <w:i/>
          <w:iCs/>
          <w:noProof/>
        </w:rPr>
        <w:t>CMAJ</w:t>
      </w:r>
      <w:r w:rsidRPr="002D6DBB">
        <w:rPr>
          <w:rFonts w:ascii="Calibri" w:hAnsi="Calibri" w:cs="Calibri"/>
          <w:noProof/>
        </w:rPr>
        <w:t>, vol. 152, no. 9, pp. 1445–1450, 1995, Accessed: Mar. 17, 2021. [Online]. Available: /pmc/articles/PMC1337908/?report=abstract.</w:t>
      </w:r>
    </w:p>
    <w:p w14:paraId="53C6AB5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[11]</w:t>
      </w:r>
      <w:r w:rsidRPr="002D6DBB">
        <w:rPr>
          <w:rFonts w:ascii="Calibri" w:hAnsi="Calibri" w:cs="Calibri"/>
          <w:noProof/>
        </w:rPr>
        <w:tab/>
        <w:t xml:space="preserve">G. Molina </w:t>
      </w:r>
      <w:r w:rsidRPr="002D6DBB">
        <w:rPr>
          <w:rFonts w:ascii="Calibri" w:hAnsi="Calibri" w:cs="Calibri"/>
          <w:i/>
          <w:iCs/>
          <w:noProof/>
        </w:rPr>
        <w:t>et al.</w:t>
      </w:r>
      <w:r w:rsidRPr="002D6DBB">
        <w:rPr>
          <w:rFonts w:ascii="Calibri" w:hAnsi="Calibri" w:cs="Calibri"/>
          <w:noProof/>
        </w:rPr>
        <w:t xml:space="preserve">, “Relationship between cesarean delivery rate and maternal and neonatal mortality,” </w:t>
      </w:r>
      <w:r w:rsidRPr="002D6DBB">
        <w:rPr>
          <w:rFonts w:ascii="Calibri" w:hAnsi="Calibri" w:cs="Calibri"/>
          <w:i/>
          <w:iCs/>
          <w:noProof/>
        </w:rPr>
        <w:t>JAMA - J. Am. Med. Assoc.</w:t>
      </w:r>
      <w:r w:rsidRPr="002D6DBB">
        <w:rPr>
          <w:rFonts w:ascii="Calibri" w:hAnsi="Calibri" w:cs="Calibri"/>
          <w:noProof/>
        </w:rPr>
        <w:t>, vol. 314, no. 21, pp. 2263–2270, Dec. 2015, doi: 10.1001/jama.2015.15553.</w:t>
      </w:r>
    </w:p>
    <w:p w14:paraId="07A8079E"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[12]</w:t>
      </w:r>
      <w:r w:rsidRPr="002D6DBB">
        <w:rPr>
          <w:rFonts w:ascii="Calibri" w:hAnsi="Calibri" w:cs="Calibri"/>
          <w:noProof/>
        </w:rPr>
        <w:tab/>
        <w:t xml:space="preserve">A. M. Gülmezoglu, C. A. Crowther, P. Middleton, and E. Heatley, “Induction of labour for improving birth outcomes for women at or beyond term,” </w:t>
      </w:r>
      <w:r w:rsidRPr="002D6DBB">
        <w:rPr>
          <w:rFonts w:ascii="Calibri" w:hAnsi="Calibri" w:cs="Calibri"/>
          <w:i/>
          <w:iCs/>
          <w:noProof/>
        </w:rPr>
        <w:t>Cochrane Database Syst. Rev.</w:t>
      </w:r>
      <w:r w:rsidRPr="002D6DBB">
        <w:rPr>
          <w:rFonts w:ascii="Calibri" w:hAnsi="Calibri" w:cs="Calibri"/>
          <w:noProof/>
        </w:rPr>
        <w:t>, vol. 6, no. 6, Jun. 2012, doi: 10.1002/14651858.cd004945.pub3.</w:t>
      </w:r>
    </w:p>
    <w:p w14:paraId="5438F829"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[13]</w:t>
      </w:r>
      <w:r w:rsidRPr="002D6DBB">
        <w:rPr>
          <w:rFonts w:ascii="Calibri" w:hAnsi="Calibri" w:cs="Calibri"/>
          <w:noProof/>
        </w:rPr>
        <w:tab/>
        <w:t>“Inducing labour Clinical guideline,” 2008. Accessed: Mar. 17, 2021. [Online]. Available: www.nice.org.uk/guidance/cg70.</w:t>
      </w:r>
    </w:p>
    <w:p w14:paraId="28952CD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[14]</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“Intrapartum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1554–1558, 1998.</w:t>
      </w:r>
    </w:p>
    <w:p w14:paraId="7DE5F5D0"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[15]</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“Antepartum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1549–1553, 1998.</w:t>
      </w:r>
    </w:p>
    <w:p w14:paraId="7A14383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[16]</w:t>
      </w:r>
      <w:r w:rsidRPr="002D6DBB">
        <w:rPr>
          <w:rFonts w:ascii="Calibri" w:hAnsi="Calibri" w:cs="Calibri"/>
          <w:noProof/>
        </w:rPr>
        <w:tab/>
        <w:t xml:space="preserve">R. E. Cooke, “The Johns Hopkins Collaborative Perinatal Project. A symposium. </w:t>
      </w:r>
      <w:r w:rsidRPr="002D6DBB">
        <w:rPr>
          <w:rFonts w:ascii="Calibri" w:hAnsi="Calibri" w:cs="Calibri"/>
          <w:noProof/>
        </w:rPr>
        <w:lastRenderedPageBreak/>
        <w:t xml:space="preserve">Introduction.,” </w:t>
      </w:r>
      <w:r w:rsidRPr="002D6DBB">
        <w:rPr>
          <w:rFonts w:ascii="Calibri" w:hAnsi="Calibri" w:cs="Calibri"/>
          <w:i/>
          <w:iCs/>
          <w:noProof/>
        </w:rPr>
        <w:t>Johns Hopkins Med. J.</w:t>
      </w:r>
      <w:r w:rsidRPr="002D6DBB">
        <w:rPr>
          <w:rFonts w:ascii="Calibri" w:hAnsi="Calibri" w:cs="Calibri"/>
          <w:noProof/>
        </w:rPr>
        <w:t>, vol. 128, no. 5, p. 237, May 1971.</w:t>
      </w:r>
    </w:p>
    <w:p w14:paraId="74BDF91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[17]</w:t>
      </w:r>
      <w:r w:rsidRPr="002D6DBB">
        <w:rPr>
          <w:rFonts w:ascii="Calibri" w:hAnsi="Calibri" w:cs="Calibri"/>
          <w:noProof/>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[18]</w:t>
      </w:r>
      <w:r w:rsidRPr="002D6DBB">
        <w:rPr>
          <w:rFonts w:ascii="Calibri" w:hAnsi="Calibri" w:cs="Calibri"/>
          <w:noProof/>
        </w:rPr>
        <w:tab/>
        <w:t xml:space="preserve">D. E. Odd, G. Lewis, A. Whitelaw, and D.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373, no. 9675, pp. 1615–1622, 2009, doi: 10.1016/S0140-6736(09)60244-0.</w:t>
      </w:r>
    </w:p>
    <w:p w14:paraId="09B60A6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[19]</w:t>
      </w:r>
      <w:r w:rsidRPr="002D6DBB">
        <w:rPr>
          <w:rFonts w:ascii="Calibri" w:hAnsi="Calibri" w:cs="Calibri"/>
          <w:noProof/>
        </w:rPr>
        <w:tab/>
        <w:t>“scikit-learn: machine learning in Python — scikit-learn 0.21.3 documentation.” https://scikit-learn.org/stable/index.html (accessed Sep. 10, 2019).</w:t>
      </w:r>
    </w:p>
    <w:p w14:paraId="27B9B7E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[20]</w:t>
      </w:r>
      <w:r w:rsidRPr="002D6DBB">
        <w:rPr>
          <w:rFonts w:ascii="Calibri" w:hAnsi="Calibri" w:cs="Calibri"/>
          <w:noProof/>
        </w:rPr>
        <w:tab/>
        <w:t>A. M. Alaa and M. Van Der Schaar, “AutoPrognosis: Automated Clinical Prognostic Modeling via Bayesian Optimization with Structured Kernel Learning,” 2018.</w:t>
      </w:r>
    </w:p>
    <w:p w14:paraId="1AD20D3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[21]</w:t>
      </w:r>
      <w:r w:rsidRPr="002D6DB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2D6DBB">
        <w:rPr>
          <w:rFonts w:ascii="Calibri" w:hAnsi="Calibri" w:cs="Calibri"/>
          <w:i/>
          <w:iCs/>
          <w:noProof/>
        </w:rPr>
        <w:t>PLoS One</w:t>
      </w:r>
      <w:r w:rsidRPr="002D6DBB">
        <w:rPr>
          <w:rFonts w:ascii="Calibri" w:hAnsi="Calibri" w:cs="Calibri"/>
          <w:noProof/>
        </w:rPr>
        <w:t>, vol. 14, no. 5, p. e0213653, May 2019, doi: 10.1371/journal.pone.0213653.</w:t>
      </w:r>
    </w:p>
    <w:p w14:paraId="0752A698"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[22]</w:t>
      </w:r>
      <w:r w:rsidRPr="002D6DBB">
        <w:rPr>
          <w:rFonts w:ascii="Calibri" w:hAnsi="Calibri" w:cs="Calibri"/>
          <w:noProof/>
        </w:rPr>
        <w:tab/>
        <w:t xml:space="preserve">A. M. Alaa and M. van der Schaar, “Prognostication and Risk Factors for Cystic Fibrosis via Automated Machine Learning,” </w:t>
      </w:r>
      <w:r w:rsidRPr="002D6DBB">
        <w:rPr>
          <w:rFonts w:ascii="Calibri" w:hAnsi="Calibri" w:cs="Calibri"/>
          <w:i/>
          <w:iCs/>
          <w:noProof/>
        </w:rPr>
        <w:t>Sci. Rep.</w:t>
      </w:r>
      <w:r w:rsidRPr="002D6DBB">
        <w:rPr>
          <w:rFonts w:ascii="Calibri" w:hAnsi="Calibri" w:cs="Calibri"/>
          <w:noProof/>
        </w:rPr>
        <w:t>, vol. 8, no. 1, p. 11242, Dec. 2018, doi: 10.1038/s41598-018-29523-2.</w:t>
      </w:r>
    </w:p>
    <w:p w14:paraId="08CDC8F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[23]</w:t>
      </w:r>
      <w:r w:rsidRPr="002D6DBB">
        <w:rPr>
          <w:rFonts w:ascii="Calibri" w:hAnsi="Calibri" w:cs="Calibri"/>
          <w:noProof/>
        </w:rPr>
        <w:tab/>
        <w:t xml:space="preserve">N. McBride </w:t>
      </w:r>
      <w:r w:rsidRPr="002D6DBB">
        <w:rPr>
          <w:rFonts w:ascii="Calibri" w:hAnsi="Calibri" w:cs="Calibri"/>
          <w:i/>
          <w:iCs/>
          <w:noProof/>
        </w:rPr>
        <w:t>et al.</w:t>
      </w:r>
      <w:r w:rsidRPr="002D6DBB">
        <w:rPr>
          <w:rFonts w:ascii="Calibri" w:hAnsi="Calibri" w:cs="Calibri"/>
          <w:noProof/>
        </w:rPr>
        <w:t xml:space="preserve">, “Do nuclear magnetic resonance (NMR)-based metabolomics improve the prediction of pregnancy-related disorders? Findings from a UK birth cohort with independent validation,” </w:t>
      </w:r>
      <w:r w:rsidRPr="002D6DBB">
        <w:rPr>
          <w:rFonts w:ascii="Calibri" w:hAnsi="Calibri" w:cs="Calibri"/>
          <w:i/>
          <w:iCs/>
          <w:noProof/>
        </w:rPr>
        <w:t>BMC Med.</w:t>
      </w:r>
      <w:r w:rsidRPr="002D6DBB">
        <w:rPr>
          <w:rFonts w:ascii="Calibri" w:hAnsi="Calibri" w:cs="Calibri"/>
          <w:noProof/>
        </w:rPr>
        <w:t>, vol. 18, no. 1, p. 366, Dec. 2020, doi: 10.1186/s12916-020-01819-z.</w:t>
      </w:r>
    </w:p>
    <w:p w14:paraId="59A4A5D1"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[24]</w:t>
      </w:r>
      <w:r w:rsidRPr="002D6DB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2D6DBB">
        <w:rPr>
          <w:rFonts w:ascii="Calibri" w:hAnsi="Calibri" w:cs="Calibri"/>
          <w:i/>
          <w:iCs/>
          <w:noProof/>
        </w:rPr>
        <w:t>Journal of Clinical Epidemiology</w:t>
      </w:r>
      <w:r w:rsidRPr="002D6DBB">
        <w:rPr>
          <w:rFonts w:ascii="Calibri" w:hAnsi="Calibri" w:cs="Calibri"/>
          <w:noProof/>
        </w:rPr>
        <w:t>, vol. 110. Elsevier USA, pp. 12–22, Jun. 01, 2019, doi: 10.1016/j.jclinepi.2019.02.004.</w:t>
      </w:r>
    </w:p>
    <w:p w14:paraId="3D9BB441" w14:textId="5FD6856B" w:rsidR="00200043" w:rsidRDefault="002D6DBB" w:rsidP="00172234">
      <w:pPr>
        <w:rPr>
          <w:rFonts w:cstheme="minorHAnsi"/>
          <w:b/>
          <w:bCs/>
          <w:lang w:val="en-US"/>
        </w:rPr>
      </w:pPr>
      <w:r>
        <w:rPr>
          <w:rFonts w:cstheme="minorHAnsi"/>
          <w:b/>
          <w:bCs/>
          <w:lang w:val="en-US"/>
        </w:rPr>
        <w:fldChar w:fldCharType="end"/>
      </w:r>
    </w:p>
    <w:p w14:paraId="43C9423F" w14:textId="77777777" w:rsidR="002D6DBB" w:rsidRPr="00AB472B" w:rsidRDefault="002D6DBB"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3"/>
            <w:r w:rsidRPr="00AB472B">
              <w:rPr>
                <w:rFonts w:cstheme="minorHAnsi"/>
                <w:sz w:val="24"/>
                <w:szCs w:val="24"/>
              </w:rPr>
              <w:t>Ix</w:t>
            </w:r>
            <w:commentRangeEnd w:id="3"/>
            <w:r w:rsidR="00C2732C" w:rsidRPr="00AB472B">
              <w:rPr>
                <w:rStyle w:val="CommentReference"/>
                <w:rFonts w:cstheme="minorHAnsi"/>
                <w:sz w:val="24"/>
                <w:szCs w:val="24"/>
              </w:rPr>
              <w:commentReference w:id="3"/>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4"/>
            <w:r w:rsidRPr="00AB472B">
              <w:rPr>
                <w:rFonts w:cstheme="minorHAnsi"/>
                <w:sz w:val="24"/>
                <w:szCs w:val="24"/>
              </w:rPr>
              <w:t xml:space="preserve">A/N </w:t>
            </w:r>
            <w:commentRangeEnd w:id="4"/>
            <w:r w:rsidR="009307B5" w:rsidRPr="00AB472B">
              <w:rPr>
                <w:rStyle w:val="CommentReference"/>
                <w:rFonts w:cstheme="minorHAnsi"/>
                <w:sz w:val="24"/>
                <w:szCs w:val="24"/>
              </w:rPr>
              <w:commentReference w:id="4"/>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5"/>
            <w:r w:rsidRPr="00AB472B">
              <w:rPr>
                <w:rFonts w:cstheme="minorHAnsi"/>
                <w:sz w:val="24"/>
                <w:szCs w:val="24"/>
              </w:rPr>
              <w:lastRenderedPageBreak/>
              <w:t>MIE</w:t>
            </w:r>
            <w:commentRangeEnd w:id="5"/>
            <w:r w:rsidR="00431A46" w:rsidRPr="00AB472B">
              <w:rPr>
                <w:rStyle w:val="CommentReference"/>
                <w:rFonts w:cstheme="minorHAnsi"/>
                <w:sz w:val="24"/>
                <w:szCs w:val="24"/>
              </w:rPr>
              <w:commentReference w:id="5"/>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6"/>
      <w:r w:rsidRPr="00AB472B">
        <w:rPr>
          <w:rFonts w:cstheme="minorHAnsi"/>
          <w:bCs/>
        </w:rPr>
        <w:t>obtained from Badawi et al (1998)</w:t>
      </w:r>
      <w:commentRangeEnd w:id="6"/>
      <w:r w:rsidRPr="00AB472B">
        <w:rPr>
          <w:rStyle w:val="CommentReference"/>
          <w:rFonts w:cstheme="minorHAnsi"/>
          <w:sz w:val="24"/>
          <w:szCs w:val="24"/>
        </w:rPr>
        <w:commentReference w:id="6"/>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43:00Z" w:initials="ML">
    <w:p w14:paraId="34F92E0A" w14:textId="1F99D7B7" w:rsidR="00C915B3" w:rsidRDefault="00C915B3">
      <w:pPr>
        <w:pStyle w:val="CommentText"/>
      </w:pPr>
      <w:r>
        <w:rPr>
          <w:rStyle w:val="CommentReference"/>
        </w:rPr>
        <w:annotationRef/>
      </w:r>
      <w:r>
        <w:t>Pls define</w:t>
      </w:r>
    </w:p>
  </w:comment>
  <w:comment w:id="4"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5"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6"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6AD"/>
    <w:rsid w:val="00196C1E"/>
    <w:rsid w:val="001A047F"/>
    <w:rsid w:val="001A0D50"/>
    <w:rsid w:val="001A31CB"/>
    <w:rsid w:val="001A741F"/>
    <w:rsid w:val="001A7B4A"/>
    <w:rsid w:val="001A7DAF"/>
    <w:rsid w:val="001B0382"/>
    <w:rsid w:val="001B1466"/>
    <w:rsid w:val="001B3FAE"/>
    <w:rsid w:val="001B414B"/>
    <w:rsid w:val="001B46C3"/>
    <w:rsid w:val="001B67D6"/>
    <w:rsid w:val="001B7143"/>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7744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0EFC"/>
    <w:rsid w:val="00702272"/>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6B34"/>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01E7"/>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2873"/>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19</Pages>
  <Words>21737</Words>
  <Characters>123902</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1229</cp:revision>
  <dcterms:created xsi:type="dcterms:W3CDTF">2021-01-08T16:04:00Z</dcterms:created>
  <dcterms:modified xsi:type="dcterms:W3CDTF">2021-03-18T09:26:00Z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